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F0A" w:rsidRPr="008B0AA6" w:rsidRDefault="00BC4F0A" w:rsidP="003674B3">
      <w:pPr>
        <w:autoSpaceDE w:val="0"/>
        <w:autoSpaceDN w:val="0"/>
        <w:adjustRightInd w:val="0"/>
        <w:spacing w:after="120" w:line="240" w:lineRule="auto"/>
        <w:ind w:left="720"/>
        <w:jc w:val="both"/>
        <w:rPr>
          <w:rFonts w:cs="Times New Roman"/>
          <w:b/>
          <w:szCs w:val="28"/>
        </w:rPr>
      </w:pPr>
      <w:r w:rsidRPr="008B0AA6">
        <w:rPr>
          <w:rFonts w:cs="Times New Roman"/>
          <w:b/>
          <w:szCs w:val="28"/>
        </w:rPr>
        <w:t>1. Thành phần, số lượng hồ sơ:</w:t>
      </w:r>
    </w:p>
    <w:p w:rsidR="00BC4F0A" w:rsidRPr="00BC4F0A" w:rsidRDefault="007A0E06" w:rsidP="003674B3">
      <w:pPr>
        <w:autoSpaceDE w:val="0"/>
        <w:autoSpaceDN w:val="0"/>
        <w:adjustRightInd w:val="0"/>
        <w:spacing w:after="120" w:line="240" w:lineRule="auto"/>
        <w:ind w:firstLine="720"/>
        <w:jc w:val="both"/>
        <w:rPr>
          <w:rFonts w:cs="Times New Roman"/>
          <w:szCs w:val="28"/>
        </w:rPr>
      </w:pPr>
      <w:r>
        <w:rPr>
          <w:rFonts w:cs="Times New Roman"/>
          <w:szCs w:val="28"/>
        </w:rPr>
        <w:t>a</w:t>
      </w:r>
      <w:r w:rsidR="005E5AE0">
        <w:rPr>
          <w:rFonts w:cs="Times New Roman"/>
          <w:szCs w:val="28"/>
        </w:rPr>
        <w:t>.</w:t>
      </w:r>
      <w:r w:rsidR="00BC4F0A" w:rsidRPr="00BC4F0A">
        <w:rPr>
          <w:rFonts w:cs="Times New Roman"/>
          <w:szCs w:val="28"/>
        </w:rPr>
        <w:t xml:space="preserve"> Thành phần hồ sơ:</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- 01 bản chính văn bản đề nghị cấp, cấp điều chỉnh, cấp lại giấy phép môi trường của dự án đầu tư, cơ sở</w:t>
      </w:r>
      <w:bookmarkStart w:id="0" w:name="_GoBack"/>
      <w:bookmarkEnd w:id="0"/>
      <w:r>
        <w:rPr>
          <w:rFonts w:cs="Times New Roman"/>
          <w:szCs w:val="28"/>
        </w:rPr>
        <w:t>;</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- 01 bản chính Báo cáo đề xuất cấp giấy phép môi trường của dự án đầu tư, cơ sở</w:t>
      </w:r>
      <w:r>
        <w:rPr>
          <w:rFonts w:cs="Times New Roman"/>
          <w:szCs w:val="28"/>
        </w:rPr>
        <w:t>:</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Trường hợp dự án đầu tư đã có quyết định phê duyệt kết quả thẩm định báo cáo đánh giá tác động môi trường trước khi đi vào vận hành thử nghiệm: mẫu quy định tại Phụ lục VIII ban hành kèm theo Nghị định số</w:t>
      </w:r>
      <w:r>
        <w:rPr>
          <w:rFonts w:cs="Times New Roman"/>
          <w:szCs w:val="28"/>
        </w:rPr>
        <w:t xml:space="preserve"> 08/2022/NĐ-CP;</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Trường hợp dự án đầu tư nhóm II không thuộc đối tượng phải thực hiện đánh giá tác động môi trường: mẫu quy định tại Phụ lục IX ban hành kèm theo Nghị định số</w:t>
      </w:r>
      <w:r>
        <w:rPr>
          <w:rFonts w:cs="Times New Roman"/>
          <w:szCs w:val="28"/>
        </w:rPr>
        <w:t xml:space="preserve"> 08/2022/NĐ-CP;</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Trường hợp cơ sở, khu sản xuất, kinh doanh, dịch vụ tập trung, cụm công nghiệp đang hoạt động có tiêu chí về môi trường tương đương với dự án nhóm I hoặc nhóm II: mẫu quy định tại Phụ lục X ban hành kèm theo Nghị định số</w:t>
      </w:r>
      <w:r>
        <w:rPr>
          <w:rFonts w:cs="Times New Roman"/>
          <w:szCs w:val="28"/>
        </w:rPr>
        <w:t xml:space="preserve"> 08/2022/NĐ-CP;</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Trường hợp dự án đầu tư nhóm III: mẫu quy định tại Phụ lục XI ban hành kèm theo Nghị định số</w:t>
      </w:r>
      <w:r>
        <w:rPr>
          <w:rFonts w:cs="Times New Roman"/>
          <w:szCs w:val="28"/>
        </w:rPr>
        <w:t xml:space="preserve"> 08/2022/NĐ-CP;</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Trường hợp cơ sở đang hoạt động có tiêu chí về môi trường tương đương với dự án nhóm III: mẫu quy định tại Phụ lục XII ban hành kèm theo Nghị định số</w:t>
      </w:r>
      <w:r>
        <w:rPr>
          <w:rFonts w:cs="Times New Roman"/>
          <w:szCs w:val="28"/>
        </w:rPr>
        <w:t xml:space="preserve"> 08/2022/NĐ-CP;</w:t>
      </w:r>
    </w:p>
    <w:p w:rsidR="005E5AE0" w:rsidRPr="005E5AE0"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- 01 bản sao Báo cáo nghiên cứu khả thi hoặc tài liệu tương đương với báo cáo nghiên cứu khả thi của dự án đầu tư theo quy định của pháp luật về đầu tư, đầu tư công, đầu tư theo phương thức đối tác công tư, xây dựng (đối với dự án đầu tư không thuộc đối tượng phải thực hiện đánh giá tác động môi trường).</w:t>
      </w:r>
    </w:p>
    <w:p w:rsidR="00BC4F0A" w:rsidRPr="00BC4F0A" w:rsidRDefault="007A0E06" w:rsidP="003674B3">
      <w:pPr>
        <w:autoSpaceDE w:val="0"/>
        <w:autoSpaceDN w:val="0"/>
        <w:adjustRightInd w:val="0"/>
        <w:spacing w:after="120" w:line="240" w:lineRule="auto"/>
        <w:ind w:firstLine="720"/>
        <w:jc w:val="both"/>
        <w:rPr>
          <w:rFonts w:cs="Times New Roman"/>
          <w:szCs w:val="28"/>
        </w:rPr>
      </w:pPr>
      <w:r>
        <w:rPr>
          <w:rFonts w:cs="Times New Roman"/>
          <w:szCs w:val="28"/>
        </w:rPr>
        <w:t>b</w:t>
      </w:r>
      <w:r w:rsidR="005E5AE0">
        <w:rPr>
          <w:rFonts w:cs="Times New Roman"/>
          <w:szCs w:val="28"/>
        </w:rPr>
        <w:t>.</w:t>
      </w:r>
      <w:r w:rsidR="00BC4F0A" w:rsidRPr="00BC4F0A">
        <w:rPr>
          <w:rFonts w:cs="Times New Roman"/>
          <w:szCs w:val="28"/>
        </w:rPr>
        <w:t xml:space="preserve"> Số lượng: 0</w:t>
      </w:r>
      <w:r w:rsidR="003674B3">
        <w:rPr>
          <w:rFonts w:cs="Times New Roman"/>
          <w:szCs w:val="28"/>
        </w:rPr>
        <w:t>1</w:t>
      </w:r>
      <w:r w:rsidR="00BC4F0A" w:rsidRPr="00BC4F0A">
        <w:rPr>
          <w:rFonts w:cs="Times New Roman"/>
          <w:szCs w:val="28"/>
        </w:rPr>
        <w:t xml:space="preserve"> bộ.</w:t>
      </w:r>
    </w:p>
    <w:p w:rsidR="00BC4F0A" w:rsidRPr="008B0AA6" w:rsidRDefault="00BC4F0A" w:rsidP="003674B3">
      <w:pPr>
        <w:autoSpaceDE w:val="0"/>
        <w:autoSpaceDN w:val="0"/>
        <w:adjustRightInd w:val="0"/>
        <w:spacing w:after="120" w:line="240" w:lineRule="auto"/>
        <w:ind w:firstLine="720"/>
        <w:jc w:val="both"/>
        <w:rPr>
          <w:rFonts w:cs="Times New Roman"/>
          <w:b/>
          <w:szCs w:val="28"/>
        </w:rPr>
      </w:pPr>
      <w:r w:rsidRPr="008B0AA6">
        <w:rPr>
          <w:rFonts w:cs="Times New Roman"/>
          <w:b/>
          <w:szCs w:val="28"/>
        </w:rPr>
        <w:t>2. Trình tự thực hiện:</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Bước 1. Nộp hồ</w:t>
      </w:r>
      <w:r>
        <w:rPr>
          <w:rFonts w:cs="Times New Roman"/>
          <w:szCs w:val="28"/>
        </w:rPr>
        <w:t xml:space="preserve"> sơ</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Tổ chức/cá nhân (Chủ dự án đầu tư, cơ sở) nộp hồ sơ đề nghị cấp phép môi trường tại: Trung tâm Phục vụ Hành chính công tỉnh hoặc qua đường bưu điện hoặc qua dịch vụ công trực tuyến tại địa chỉ http://dichvucong.langson.gov.vn gửi đến Sở Tài nguyên và Môi trườ</w:t>
      </w:r>
      <w:r>
        <w:rPr>
          <w:rFonts w:cs="Times New Roman"/>
          <w:szCs w:val="28"/>
        </w:rPr>
        <w:t>ng.</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Chủ dự án đầu tư, cơ sở nộp hồ sơ đề nghị cấp giấy phép môi trường đến cơ quan cấp phép theo mô</w:t>
      </w:r>
      <w:r>
        <w:rPr>
          <w:rFonts w:cs="Times New Roman"/>
          <w:szCs w:val="28"/>
        </w:rPr>
        <w:t>̣t trong các trường hợp sau:</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i- Chủ dự án đầu tư thuộc đối tượng phải thực hiện đánh giá tác động môi trường nộp hồ sơ đề nghị cấp giấy phép môi trường sau khi đã hoàn thành công trình xử lý chất thải cho toàn bộ dự án hoặc cho từng phân kỳ đầu tư của dự án (nếu dự án có phân kỳ đầu tư theo từng giai đoạn) hoặc cho hạng mục công trình xử lý chất thải độc lập của dự</w:t>
      </w:r>
      <w:r>
        <w:rPr>
          <w:rFonts w:cs="Times New Roman"/>
          <w:szCs w:val="28"/>
        </w:rPr>
        <w:t xml:space="preserve"> án;</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lastRenderedPageBreak/>
        <w:t>ii- Chủ dự án đầu tư không thuộc đối tượng phải thực hiện đánh giá tác động môi trường tự quyết định thời điểm nộp hồ sơ đề nghị cấp giấy phép môi trường sau khi có đầy đủ hồ sơ theo quy đị</w:t>
      </w:r>
      <w:r>
        <w:rPr>
          <w:rFonts w:cs="Times New Roman"/>
          <w:szCs w:val="28"/>
        </w:rPr>
        <w:t>nh;</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iii- Chủ dự án đầu tư quy định tại khoản 2 Điều 39 Luật Bảo vệ môi trường đang vận hành thử nghiệm công trình xử lý chất thải theo quy định của pháp luật trước ngày Luật Bảo vệ môi trường có hiệu lực thi hành tự quyết định thời điểm nộp hồ sơ đề nghị cấp giấy phép môi trường để bảo đảm thời điểm phải có giấy phép môi trường sau khi kết thúc vận hành thử nghiệm nhưng chậm nhất trước 30 ngày tính đến thời điểm phải có giấy phép môi trườ</w:t>
      </w:r>
      <w:r>
        <w:rPr>
          <w:rFonts w:cs="Times New Roman"/>
          <w:szCs w:val="28"/>
        </w:rPr>
        <w:t>ng.</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Trường hợp không bảo đảm thời điểm nộp hồ sơ đề nghị cấp giấy phép môi trường theo quy định tại điểm này, chủ dự án đầu tư phải có thông báo gia hạn thời gian vận hành thử nghiệm theo quy định tại điểm c khoản 6 Điều 31 Nghị định số 08/2022/NĐ-CP để được cấp giấy phép môi trường sau khi kết thúc vận hành thử nghiệ</w:t>
      </w:r>
      <w:r>
        <w:rPr>
          <w:rFonts w:cs="Times New Roman"/>
          <w:szCs w:val="28"/>
        </w:rPr>
        <w:t>m;</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iv- Chủ cơ sở, khu sản xuất, kinh doanh, dịch vụ tập trung, cụm công nghiệp tự quyết định thời điểm nộp hồ sơ đề nghị cấp giấy phép môi trường để bảo đảm thời điểm phải có giấy phép môi trường theo quy định của Luật Bảo vệ môi trường và Nghị định số 08/2022/NĐ-CP nhưng chậm nhất trước 30 ngày tính đến thời điểm phải có giấy phép môi trườ</w:t>
      </w:r>
      <w:r>
        <w:rPr>
          <w:rFonts w:cs="Times New Roman"/>
          <w:szCs w:val="28"/>
        </w:rPr>
        <w:t>ng.</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Bước 2. Kiểm tra hồ</w:t>
      </w:r>
      <w:r>
        <w:rPr>
          <w:rFonts w:cs="Times New Roman"/>
          <w:szCs w:val="28"/>
        </w:rPr>
        <w:t xml:space="preserve"> sơ</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Cơ quan cấp phép xem xét tính đầy đủ, hợp lệ của hồ sơ theo quy định; trường hợp hồ sơ chưa đầy đủ, chưa hợp lệ thì thông báo để tổ chức, cá nhân hoàn thiệ</w:t>
      </w:r>
      <w:r>
        <w:rPr>
          <w:rFonts w:cs="Times New Roman"/>
          <w:szCs w:val="28"/>
        </w:rPr>
        <w:t>n hồ sơ theo quy định.</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Bước 3. Thẩm định hồ sơ, kiểm tra và trả kết quả</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Cơ quan cấp phép thành lập hội đồng thẩm định, tổ thẩm định hoặc đoàn kiểm tra theo một trong các trường hợp sau:</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Đối với dự án đầu tư đã có quyết định phê duyệt kết quả thẩm định báo cáo đánh giá tác động môi trường, không có nội dung sử dụng phế liệu nhập khẩu từ nước ngoài làm nguyên liệu sản xuất hoặc thực hiện dịch vụ xử lý chất thải nguy hại, đồng thời thuộc trường hợp quy định tại điểm b khoản 4 Điều 37 Luật Bảo vệ môi trường, cơ quan cấp phép thành lập hội đồng thẩm định cấp giấy phép môi trường, không tổ chức kiểm tra thực tế</w:t>
      </w:r>
      <w:r>
        <w:rPr>
          <w:rFonts w:cs="Times New Roman"/>
          <w:szCs w:val="28"/>
        </w:rPr>
        <w:t>;</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Đối với dự án đầu tư đã có quyết định phê duyệt kết quả thẩm định báo cáo đánh giá tác động môi trường và không thuộc trường hợp quy định tại điểm b khoản 4 Điều 37 Luật Bảo vệ môi trường, cơ quan cấp phép thành lập tổ thẩm định cấp giấy phép môi trường, không tổ chức kiểm tra thực tế</w:t>
      </w:r>
      <w:r>
        <w:rPr>
          <w:rFonts w:cs="Times New Roman"/>
          <w:szCs w:val="28"/>
        </w:rPr>
        <w:t>;</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Đối với dự án đầu tư không thuộc đối tượng phải thực hiện đánh giá tác động môi trường, cơ quan có thẩm quyền cấp giấy phép môi trường thành lập hội đồng thẩm định, hội đồng thẩm định có trách nhiệm tổ chức khảo sát thực tế tại khu vực dự kiến triển khai dự án đầ</w:t>
      </w:r>
      <w:r>
        <w:rPr>
          <w:rFonts w:cs="Times New Roman"/>
          <w:szCs w:val="28"/>
        </w:rPr>
        <w:t>u tư;</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lastRenderedPageBreak/>
        <w:t>+ Đối với cơ sở, khu sản xuất, kinh doanh, dịch vụ tập trung, cụm công nghiệp đang hoạt động, cơ quan cấp phép thành lập đoàn kiểm tra và tổ chức kiểm tra thực tế</w:t>
      </w:r>
      <w:r>
        <w:rPr>
          <w:rFonts w:cs="Times New Roman"/>
          <w:szCs w:val="28"/>
        </w:rPr>
        <w:t>.</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Hội đồng thẩm định, tổ thẩm định thẩm định hồ sơ, đoàn kiểm tra nghiên cứu hồ sơ và khảo sát hoặc kiểm tra thực tế (nếu có) đối với dự án đầu tư, cơ sở. Trường hợp hồ sơ phải chỉnh sửa, bổ sung để bảo đảm đủ căn cứ cho việc cấp phép, cơ quan cấp phép có văn bản thông báo cho chủ dự án và nêu rõ các nội dung phải chỉnh sửa, bổ sung. Cơ quan cấp phép không yêu cầu chủ dự án, cơ sở thực hiện các công việc khác ngoài các nội dung trong văn bản thông báo yêu cầu chỉnh sửa, bổ sung hồ</w:t>
      </w:r>
      <w:r>
        <w:rPr>
          <w:rFonts w:cs="Times New Roman"/>
          <w:szCs w:val="28"/>
        </w:rPr>
        <w:t xml:space="preserve"> sơ này.</w:t>
      </w:r>
    </w:p>
    <w:p w:rsidR="005E5AE0" w:rsidRPr="005E5AE0"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Căn cứ kết quả thẩm định của hội đồng thẩm định, tổ thẩm định hoặc kết quả kiểm tra của đoàn kiểm tra, cơ quan cấp phép xem xét, cấp giấy phép môi trường cho dự án đầu tư, cơ sở trong trường hợp đủ điều kiện cấp giấy phép môi trường hoặc có văn bản thông báo trả hồ sơ cho chủ dự án, cơ sở và nêu rõ lý do trong trường hợp không đủ điều kiện cấp giấy phép môi trường.</w:t>
      </w:r>
    </w:p>
    <w:p w:rsidR="005E5AE0" w:rsidRDefault="00BC4F0A" w:rsidP="003674B3">
      <w:pPr>
        <w:autoSpaceDE w:val="0"/>
        <w:autoSpaceDN w:val="0"/>
        <w:adjustRightInd w:val="0"/>
        <w:spacing w:after="120" w:line="240" w:lineRule="auto"/>
        <w:ind w:firstLine="720"/>
        <w:jc w:val="both"/>
        <w:rPr>
          <w:rFonts w:cs="Times New Roman"/>
          <w:szCs w:val="28"/>
        </w:rPr>
      </w:pPr>
      <w:r w:rsidRPr="008B0AA6">
        <w:rPr>
          <w:rFonts w:cs="Times New Roman"/>
          <w:b/>
          <w:szCs w:val="28"/>
        </w:rPr>
        <w:t>3. Thời gian giải quyết:</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Pr>
          <w:rFonts w:cs="Times New Roman"/>
          <w:szCs w:val="28"/>
        </w:rPr>
        <w:t>a).</w:t>
      </w:r>
      <w:r w:rsidRPr="007A0E06">
        <w:rPr>
          <w:rFonts w:cs="Times New Roman"/>
          <w:szCs w:val="28"/>
        </w:rPr>
        <w:t xml:space="preserve"> Thời gian giải quyết thủ tục hành chính cấp giấy phép môi trường tối đa là 15 (mười lăm) ngày kể từ ngày nhận được hồ sơ đầy đủ, hợp lệ (trong đó thời hạn thẩm định hồ sơ, trả kết quả sau khi nhận được hồ sơ chỉnh sửa, bổ sung theo yêu cầu của cơ quan cấp giấy phép môi trường tối đa là 05 (năm) ngày kể từ ngày nhận được hồ sơ đầy đủ, hợp lệ) đối với các trường hợp sau đây:</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Dự án đầu tư, cơ sở không thuộc đối tượng phải vận hành thử nghiệm công trình xử lý chất thải;</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số 08/2022/NĐ-CP.</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Pr>
          <w:rFonts w:cs="Times New Roman"/>
          <w:szCs w:val="28"/>
        </w:rPr>
        <w:t>b)</w:t>
      </w:r>
      <w:r w:rsidRPr="007A0E06">
        <w:rPr>
          <w:rFonts w:cs="Times New Roman"/>
          <w:szCs w:val="28"/>
        </w:rPr>
        <w:t>. Thời gian giải quyết thủ tục hành chính cấp giấy phép môi trường tối đa là 30 (ba mươi) ngày kể từ ngày nhận được hồ sơ đầy đủ, hợp lệ (trong đó thời hạn thẩm định hồ sơ, trả kết quả sau khi nhận được hồ sơ chỉnh sửa, bổ sung theo yêu cầu của cơ quan cấp giấy phép môi trường tối đa là 10 (mười) ngày kể từ ngày nhận được hồ sơ đầy đủ, hợp lệ) đối với các trường hợp còn lại.</w:t>
      </w:r>
    </w:p>
    <w:p w:rsid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Thời gian tổ chức, cá nhân chỉnh sửa, bổ sung hồ sơ không tính vào thời gian giải quyết thủ tục hành chính của cơ quan cấp phép.</w:t>
      </w:r>
    </w:p>
    <w:p w:rsidR="005E5AE0" w:rsidRDefault="00BC4F0A" w:rsidP="007A0E06">
      <w:pPr>
        <w:autoSpaceDE w:val="0"/>
        <w:autoSpaceDN w:val="0"/>
        <w:adjustRightInd w:val="0"/>
        <w:spacing w:after="120" w:line="240" w:lineRule="auto"/>
        <w:ind w:firstLine="720"/>
        <w:jc w:val="both"/>
        <w:rPr>
          <w:rFonts w:cs="Times New Roman"/>
          <w:szCs w:val="28"/>
        </w:rPr>
      </w:pPr>
      <w:r w:rsidRPr="008B0AA6">
        <w:rPr>
          <w:rFonts w:cs="Times New Roman"/>
          <w:b/>
          <w:szCs w:val="28"/>
        </w:rPr>
        <w:t>4. Kết quả:</w:t>
      </w:r>
      <w:r w:rsidRPr="00BC4F0A">
        <w:rPr>
          <w:rFonts w:cs="Times New Roman"/>
          <w:szCs w:val="28"/>
        </w:rPr>
        <w:t xml:space="preserve"> </w:t>
      </w:r>
    </w:p>
    <w:p w:rsidR="007A0E06" w:rsidRPr="007A0E06"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Giấy phép môi trường (mẫu số 40 Phụ lục II phần phụ lục ban hành kèm theo Thông tư số 02/2022/TT-BTNMT);</w:t>
      </w:r>
    </w:p>
    <w:p w:rsidR="00B92664" w:rsidRDefault="007A0E06" w:rsidP="007A0E06">
      <w:pPr>
        <w:autoSpaceDE w:val="0"/>
        <w:autoSpaceDN w:val="0"/>
        <w:adjustRightInd w:val="0"/>
        <w:spacing w:after="120" w:line="240" w:lineRule="auto"/>
        <w:ind w:firstLine="720"/>
        <w:jc w:val="both"/>
        <w:rPr>
          <w:rFonts w:cs="Times New Roman"/>
          <w:szCs w:val="28"/>
        </w:rPr>
      </w:pPr>
      <w:r w:rsidRPr="007A0E06">
        <w:rPr>
          <w:rFonts w:cs="Times New Roman"/>
          <w:szCs w:val="28"/>
        </w:rPr>
        <w:t>- Văn bản thông báo trả hồ sơ cho chủ dự án, cơ sở và nêu rõ lý do trong trường hợp không đủ điều kiện cấp giấy phép môi trường.</w:t>
      </w:r>
      <w:r w:rsidR="005E5AE0">
        <w:rPr>
          <w:rFonts w:cs="Times New Roman"/>
          <w:szCs w:val="28"/>
        </w:rPr>
        <w:t>.</w:t>
      </w:r>
    </w:p>
    <w:p w:rsidR="003674B3" w:rsidRPr="008B0AA6" w:rsidRDefault="00BC4F0A" w:rsidP="003674B3">
      <w:pPr>
        <w:autoSpaceDE w:val="0"/>
        <w:autoSpaceDN w:val="0"/>
        <w:adjustRightInd w:val="0"/>
        <w:spacing w:after="120" w:line="240" w:lineRule="auto"/>
        <w:ind w:firstLine="720"/>
        <w:jc w:val="both"/>
        <w:rPr>
          <w:rFonts w:cs="Times New Roman"/>
          <w:b/>
          <w:szCs w:val="28"/>
        </w:rPr>
      </w:pPr>
      <w:r w:rsidRPr="008B0AA6">
        <w:rPr>
          <w:rFonts w:cs="Times New Roman"/>
          <w:b/>
          <w:szCs w:val="28"/>
        </w:rPr>
        <w:lastRenderedPageBreak/>
        <w:t xml:space="preserve">5. Phí, lệ phí: </w:t>
      </w:r>
    </w:p>
    <w:p w:rsid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Phí</w:t>
      </w:r>
      <w:r w:rsidR="005E5AE0">
        <w:rPr>
          <w:rFonts w:cs="Times New Roman"/>
          <w:szCs w:val="28"/>
        </w:rPr>
        <w:t>:</w:t>
      </w:r>
      <w:r w:rsidRPr="003674B3">
        <w:rPr>
          <w:rFonts w:cs="Times New Roman"/>
          <w:szCs w:val="28"/>
        </w:rPr>
        <w:t xml:space="preserve"> </w:t>
      </w:r>
      <w:r w:rsidR="007A0E06" w:rsidRPr="007A0E06">
        <w:rPr>
          <w:rFonts w:cs="Times New Roman"/>
          <w:szCs w:val="28"/>
        </w:rPr>
        <w:t>Chế độ thu, nộp, quản lý và sử dụng phí thẩm định cấp giấy phép môi trường theo quy định của Hội đồng nhân dân cấp tỉnh.</w:t>
      </w:r>
      <w:r>
        <w:rPr>
          <w:rFonts w:cs="Times New Roman"/>
          <w:szCs w:val="28"/>
        </w:rPr>
        <w:t>.</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Lệ phí</w:t>
      </w:r>
      <w:r w:rsidR="005E5AE0">
        <w:rPr>
          <w:rFonts w:cs="Times New Roman"/>
          <w:szCs w:val="28"/>
        </w:rPr>
        <w:t>:</w:t>
      </w:r>
      <w:r w:rsidRPr="003674B3">
        <w:rPr>
          <w:rFonts w:cs="Times New Roman"/>
          <w:szCs w:val="28"/>
        </w:rPr>
        <w:t xml:space="preserve"> </w:t>
      </w:r>
      <w:r w:rsidR="007A0E06">
        <w:rPr>
          <w:rFonts w:cs="Times New Roman"/>
          <w:szCs w:val="28"/>
        </w:rPr>
        <w:t>Không</w:t>
      </w:r>
      <w:r w:rsidR="005E5AE0" w:rsidRPr="005E5AE0">
        <w:rPr>
          <w:rFonts w:cs="Times New Roman"/>
          <w:szCs w:val="28"/>
        </w:rPr>
        <w:t>.</w:t>
      </w:r>
    </w:p>
    <w:p w:rsidR="003674B3" w:rsidRDefault="003674B3" w:rsidP="003674B3"/>
    <w:p w:rsidR="003674B3" w:rsidRDefault="003674B3" w:rsidP="003674B3">
      <w:pPr>
        <w:autoSpaceDE w:val="0"/>
        <w:autoSpaceDN w:val="0"/>
        <w:adjustRightInd w:val="0"/>
        <w:spacing w:after="120" w:line="240" w:lineRule="auto"/>
        <w:ind w:firstLine="720"/>
        <w:rPr>
          <w:rFonts w:cs="Times New Roman"/>
          <w:szCs w:val="28"/>
        </w:rPr>
      </w:pPr>
    </w:p>
    <w:sectPr w:rsidR="003674B3"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7544D"/>
    <w:multiLevelType w:val="hybridMultilevel"/>
    <w:tmpl w:val="B0F29FC2"/>
    <w:lvl w:ilvl="0" w:tplc="1BBEA0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CD3081"/>
    <w:multiLevelType w:val="hybridMultilevel"/>
    <w:tmpl w:val="72128CE8"/>
    <w:lvl w:ilvl="0" w:tplc="BD1C6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37897"/>
    <w:rsid w:val="000A0EFD"/>
    <w:rsid w:val="000D64CB"/>
    <w:rsid w:val="001356A4"/>
    <w:rsid w:val="00145D8F"/>
    <w:rsid w:val="00163669"/>
    <w:rsid w:val="001B5869"/>
    <w:rsid w:val="001B6AE5"/>
    <w:rsid w:val="001D7C78"/>
    <w:rsid w:val="001F0E88"/>
    <w:rsid w:val="0026122B"/>
    <w:rsid w:val="00280CC2"/>
    <w:rsid w:val="002B4197"/>
    <w:rsid w:val="002B6D22"/>
    <w:rsid w:val="00353C09"/>
    <w:rsid w:val="0036091F"/>
    <w:rsid w:val="003674B3"/>
    <w:rsid w:val="00383057"/>
    <w:rsid w:val="003A2006"/>
    <w:rsid w:val="003E533D"/>
    <w:rsid w:val="004579CE"/>
    <w:rsid w:val="0047503C"/>
    <w:rsid w:val="004A2004"/>
    <w:rsid w:val="004F462A"/>
    <w:rsid w:val="005055E5"/>
    <w:rsid w:val="005545E4"/>
    <w:rsid w:val="0055659A"/>
    <w:rsid w:val="0059406A"/>
    <w:rsid w:val="005D40BA"/>
    <w:rsid w:val="005E5AE0"/>
    <w:rsid w:val="005F0133"/>
    <w:rsid w:val="0065215C"/>
    <w:rsid w:val="0065645D"/>
    <w:rsid w:val="0068210F"/>
    <w:rsid w:val="006B4079"/>
    <w:rsid w:val="006F57BA"/>
    <w:rsid w:val="007125ED"/>
    <w:rsid w:val="00723A29"/>
    <w:rsid w:val="007A0E06"/>
    <w:rsid w:val="007A25AE"/>
    <w:rsid w:val="00822CC2"/>
    <w:rsid w:val="008B0AA6"/>
    <w:rsid w:val="008C7697"/>
    <w:rsid w:val="00907D1F"/>
    <w:rsid w:val="00935BBF"/>
    <w:rsid w:val="0094325A"/>
    <w:rsid w:val="0096699D"/>
    <w:rsid w:val="00994398"/>
    <w:rsid w:val="009B7417"/>
    <w:rsid w:val="009D63AB"/>
    <w:rsid w:val="00A82510"/>
    <w:rsid w:val="00B8479D"/>
    <w:rsid w:val="00B92664"/>
    <w:rsid w:val="00BA27D4"/>
    <w:rsid w:val="00BC4F0A"/>
    <w:rsid w:val="00C03ED6"/>
    <w:rsid w:val="00C34DEA"/>
    <w:rsid w:val="00C5441D"/>
    <w:rsid w:val="00D03A0E"/>
    <w:rsid w:val="00D070BA"/>
    <w:rsid w:val="00D93E99"/>
    <w:rsid w:val="00F02FB9"/>
    <w:rsid w:val="00F53C4D"/>
    <w:rsid w:val="00F73157"/>
    <w:rsid w:val="00FD4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paragraph" w:styleId="BalloonText">
    <w:name w:val="Balloon Text"/>
    <w:basedOn w:val="Normal"/>
    <w:link w:val="BalloonTextChar"/>
    <w:uiPriority w:val="99"/>
    <w:semiHidden/>
    <w:unhideWhenUsed/>
    <w:rsid w:val="003609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91F"/>
    <w:rPr>
      <w:rFonts w:ascii="Segoe UI" w:hAnsi="Segoe UI" w:cs="Segoe UI"/>
      <w:sz w:val="18"/>
      <w:szCs w:val="18"/>
    </w:rPr>
  </w:style>
  <w:style w:type="paragraph" w:styleId="FootnoteText">
    <w:name w:val="footnote text"/>
    <w:basedOn w:val="Normal"/>
    <w:link w:val="FootnoteTextChar"/>
    <w:semiHidden/>
    <w:unhideWhenUsed/>
    <w:rsid w:val="003674B3"/>
    <w:pPr>
      <w:spacing w:before="120" w:after="0" w:line="360" w:lineRule="exact"/>
      <w:jc w:val="center"/>
    </w:pPr>
    <w:rPr>
      <w:rFonts w:ascii="Calibri" w:eastAsia="Courier New" w:hAnsi="Calibri" w:cs="Courier New"/>
      <w:sz w:val="20"/>
      <w:szCs w:val="20"/>
      <w:lang w:val="x-none" w:eastAsia="x-none"/>
    </w:rPr>
  </w:style>
  <w:style w:type="character" w:customStyle="1" w:styleId="FootnoteTextChar">
    <w:name w:val="Footnote Text Char"/>
    <w:basedOn w:val="DefaultParagraphFont"/>
    <w:link w:val="FootnoteText"/>
    <w:semiHidden/>
    <w:rsid w:val="003674B3"/>
    <w:rPr>
      <w:rFonts w:ascii="Calibri" w:eastAsia="Courier New" w:hAnsi="Calibri" w:cs="Courier New"/>
      <w:sz w:val="20"/>
      <w:szCs w:val="20"/>
      <w:lang w:val="x-none" w:eastAsia="x-none"/>
    </w:rPr>
  </w:style>
  <w:style w:type="character" w:styleId="FootnoteReference">
    <w:name w:val="footnote reference"/>
    <w:uiPriority w:val="99"/>
    <w:semiHidden/>
    <w:unhideWhenUsed/>
    <w:rsid w:val="003674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32158">
      <w:bodyDiv w:val="1"/>
      <w:marLeft w:val="0"/>
      <w:marRight w:val="0"/>
      <w:marTop w:val="0"/>
      <w:marBottom w:val="0"/>
      <w:divBdr>
        <w:top w:val="none" w:sz="0" w:space="0" w:color="auto"/>
        <w:left w:val="none" w:sz="0" w:space="0" w:color="auto"/>
        <w:bottom w:val="none" w:sz="0" w:space="0" w:color="auto"/>
        <w:right w:val="none" w:sz="0" w:space="0" w:color="auto"/>
      </w:divBdr>
    </w:div>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326021">
      <w:bodyDiv w:val="1"/>
      <w:marLeft w:val="0"/>
      <w:marRight w:val="0"/>
      <w:marTop w:val="0"/>
      <w:marBottom w:val="0"/>
      <w:divBdr>
        <w:top w:val="none" w:sz="0" w:space="0" w:color="auto"/>
        <w:left w:val="none" w:sz="0" w:space="0" w:color="auto"/>
        <w:bottom w:val="none" w:sz="0" w:space="0" w:color="auto"/>
        <w:right w:val="none" w:sz="0" w:space="0" w:color="auto"/>
      </w:divBdr>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10397985">
      <w:bodyDiv w:val="1"/>
      <w:marLeft w:val="0"/>
      <w:marRight w:val="0"/>
      <w:marTop w:val="0"/>
      <w:marBottom w:val="0"/>
      <w:divBdr>
        <w:top w:val="none" w:sz="0" w:space="0" w:color="auto"/>
        <w:left w:val="none" w:sz="0" w:space="0" w:color="auto"/>
        <w:bottom w:val="none" w:sz="0" w:space="0" w:color="auto"/>
        <w:right w:val="none" w:sz="0" w:space="0" w:color="auto"/>
      </w:divBdr>
      <w:divsChild>
        <w:div w:id="1668510884">
          <w:marLeft w:val="0"/>
          <w:marRight w:val="0"/>
          <w:marTop w:val="0"/>
          <w:marBottom w:val="30"/>
          <w:divBdr>
            <w:top w:val="none" w:sz="0" w:space="0" w:color="auto"/>
            <w:left w:val="none" w:sz="0" w:space="0" w:color="auto"/>
            <w:bottom w:val="none" w:sz="0" w:space="0" w:color="auto"/>
            <w:right w:val="none" w:sz="0" w:space="0" w:color="auto"/>
          </w:divBdr>
        </w:div>
        <w:div w:id="1347713591">
          <w:marLeft w:val="0"/>
          <w:marRight w:val="0"/>
          <w:marTop w:val="0"/>
          <w:marBottom w:val="30"/>
          <w:divBdr>
            <w:top w:val="none" w:sz="0" w:space="0" w:color="auto"/>
            <w:left w:val="none" w:sz="0" w:space="0" w:color="auto"/>
            <w:bottom w:val="none" w:sz="0" w:space="0" w:color="auto"/>
            <w:right w:val="none" w:sz="0" w:space="0" w:color="auto"/>
          </w:divBdr>
        </w:div>
        <w:div w:id="1076130096">
          <w:marLeft w:val="0"/>
          <w:marRight w:val="0"/>
          <w:marTop w:val="0"/>
          <w:marBottom w:val="30"/>
          <w:divBdr>
            <w:top w:val="none" w:sz="0" w:space="0" w:color="auto"/>
            <w:left w:val="none" w:sz="0" w:space="0" w:color="auto"/>
            <w:bottom w:val="none" w:sz="0" w:space="0" w:color="auto"/>
            <w:right w:val="none" w:sz="0" w:space="0" w:color="auto"/>
          </w:divBdr>
        </w:div>
        <w:div w:id="1985617307">
          <w:marLeft w:val="0"/>
          <w:marRight w:val="0"/>
          <w:marTop w:val="0"/>
          <w:marBottom w:val="30"/>
          <w:divBdr>
            <w:top w:val="none" w:sz="0" w:space="0" w:color="auto"/>
            <w:left w:val="none" w:sz="0" w:space="0" w:color="auto"/>
            <w:bottom w:val="none" w:sz="0" w:space="0" w:color="auto"/>
            <w:right w:val="none" w:sz="0" w:space="0" w:color="auto"/>
          </w:divBdr>
        </w:div>
        <w:div w:id="1303583026">
          <w:marLeft w:val="0"/>
          <w:marRight w:val="0"/>
          <w:marTop w:val="0"/>
          <w:marBottom w:val="30"/>
          <w:divBdr>
            <w:top w:val="none" w:sz="0" w:space="0" w:color="auto"/>
            <w:left w:val="none" w:sz="0" w:space="0" w:color="auto"/>
            <w:bottom w:val="none" w:sz="0" w:space="0" w:color="auto"/>
            <w:right w:val="none" w:sz="0" w:space="0" w:color="auto"/>
          </w:divBdr>
        </w:div>
        <w:div w:id="278608502">
          <w:marLeft w:val="0"/>
          <w:marRight w:val="0"/>
          <w:marTop w:val="0"/>
          <w:marBottom w:val="30"/>
          <w:divBdr>
            <w:top w:val="none" w:sz="0" w:space="0" w:color="auto"/>
            <w:left w:val="none" w:sz="0" w:space="0" w:color="auto"/>
            <w:bottom w:val="none" w:sz="0" w:space="0" w:color="auto"/>
            <w:right w:val="none" w:sz="0" w:space="0" w:color="auto"/>
          </w:divBdr>
        </w:div>
        <w:div w:id="1515067784">
          <w:marLeft w:val="0"/>
          <w:marRight w:val="0"/>
          <w:marTop w:val="0"/>
          <w:marBottom w:val="30"/>
          <w:divBdr>
            <w:top w:val="none" w:sz="0" w:space="0" w:color="auto"/>
            <w:left w:val="none" w:sz="0" w:space="0" w:color="auto"/>
            <w:bottom w:val="none" w:sz="0" w:space="0" w:color="auto"/>
            <w:right w:val="none" w:sz="0" w:space="0" w:color="auto"/>
          </w:divBdr>
        </w:div>
      </w:divsChild>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66173872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63875205">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cp:lastPrinted>2022-03-20T13:24:00Z</cp:lastPrinted>
  <dcterms:created xsi:type="dcterms:W3CDTF">2022-03-28T10:47:00Z</dcterms:created>
  <dcterms:modified xsi:type="dcterms:W3CDTF">2022-05-16T02:12:00Z</dcterms:modified>
</cp:coreProperties>
</file>